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20" w:type="dxa"/>
        <w:tblInd w:w="-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40"/>
        <w:gridCol w:w="1010"/>
        <w:gridCol w:w="9308"/>
        <w:gridCol w:w="494"/>
        <w:gridCol w:w="482"/>
        <w:gridCol w:w="950"/>
        <w:gridCol w:w="1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惠州市中心人民医院手术显微镜采购项目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社会市场价格调查询价表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报价单位：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联系电话（手机）：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品牌、型号</w:t>
            </w:r>
          </w:p>
        </w:tc>
        <w:tc>
          <w:tcPr>
            <w:tcW w:w="9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金额小计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手术显微镜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1.光学部分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1.1光学：全镜组复消色差，光学镀膜保护；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1.2工作距离：最小工作距离≤200mm，最大工作距离≥600mm，且可在单一物镜下连续变焦；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1.3放大倍数：最小放大倍数≤2.0x，最大放大倍数≥15x（12.5x目镜下）；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1.4具有定位锁焦功能：在工作距离范围内，可任意改变观察角度，始终保持视场中心清晰、不失焦；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1.5自动对焦功能：移动镜头停止后可自动找寻焦距，无需按任何按键；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1.6主刀镜：倾角可调双目镜筒，可进行多角度设定，目镜10x或12.5x可选；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1.7助手镜：关节旋转立体助手镜且带锁控装置设计；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2.照明部分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2.1光源：主光源与备用光源皆为氙灯，集成化设计无外挂，主、备用光源可一键切换，并有氙灯寿命显示；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2.2辅助照明：除主照明外，配备单独可开关的侧向补光辅助照明，解决深腔手术区域照明阴影的问题；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3.支架部分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3.1平衡调校方式：光学系统与支架的整机平衡调节通过1个按键完成；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3.2术中平衡功能；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3.3具备≥3种XY移动模式：XY水平移动微调，XY弧面移动微调，定位锁焦式移动微调；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3.4具备定位记忆功能：通过拍照记忆多个支架工作位置，并能精准复位到任何记忆过的位置，还原手术视野至相同的工作距离、放大倍数等；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3.5集成化手柄：可设置个性化按键功能；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4.操作控制系统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4.1控制面板：触控式控制面板，可以设置光学、支架、影像、荧光等系统功能；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4.2脚踏开关：为有线连接，功能≥14种；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5.影像系统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5.1全内置非外接4K 3D超高清摄像头，无外露分光器和摄像接口；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5.2显示器为≥24英寸高清监视器；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5.3外置4K 3D超高清监视器，带一体化移动式推车；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6.术中血管荧光模块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6.1内置模块：整体荧光模块全内置，不占分光器接口，不影响助手镜对换；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6.2荧光视频影像全高清，可同时输出至外部监视器；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6.3具备荧光自动增益、自动侦测、自动回放功能；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7.彩色荧光分析模块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7.1血流动力学分析：可将黑白荧光分析升级为彩色血流荧光分析,进行术中快速诊断；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7.2提供彩色延迟地图、强度地图、血流速度地图、曲线图分析，帮助快速判断皮层灌注情况；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7.3图像优化功能；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8.增强现实荧光技术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8.1有增强现实荧光功能，将血管荧光造影与实时图像叠加融合，呈现彩色荧光造影的同时，可实时看到自然色彩的组织和解剖结构；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8.2叠加融合的图像可投射于目镜下，实现无中断的手术流程；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9.肿瘤荧光造影模块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9.1内置模块：整体荧光模块一体化全内置，不占分光器接口，不影响助手镜对换；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10.导航连接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10.1具备导航图像、显微镜参数、荧光造影影像等投射到目镜内，便于术中观察；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10.2有开放的导航连接界面，可呈现三维立体镜内投射图像；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11.电子内窥镜模块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11.1一体化超微探头，可深入复杂解剖区域探测盲点，其图像和使用与显微镜无缝衔接；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11.2电子内窥镜在显微镜主机上即插即用，高温高压消毒后可反复使用，无需内镜消毒罩，使用方便；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12.配置清单：</w:t>
            </w:r>
          </w:p>
          <w:tbl>
            <w:tblPr>
              <w:tblStyle w:val="6"/>
              <w:tblW w:w="7842" w:type="dxa"/>
              <w:tblInd w:w="13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9"/>
              <w:gridCol w:w="4778"/>
              <w:gridCol w:w="208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7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配置名称</w:t>
                  </w:r>
                </w:p>
              </w:tc>
              <w:tc>
                <w:tcPr>
                  <w:tcW w:w="20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手术显微镜主机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有线功能脚踏 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主刀镜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助手镜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自动聚焦模块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血管荧光模块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肿瘤荧光模块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导航模块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9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 xml:space="preserve">内置超高清3D摄像系统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≥55英寸超高清3D显示屏</w:t>
                  </w:r>
                </w:p>
              </w:tc>
              <w:tc>
                <w:tcPr>
                  <w:tcW w:w="20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双氙灯照明系统</w:t>
                  </w:r>
                </w:p>
              </w:tc>
              <w:tc>
                <w:tcPr>
                  <w:tcW w:w="20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9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一体化电子内窥镜</w:t>
                  </w:r>
                </w:p>
              </w:tc>
              <w:tc>
                <w:tcPr>
                  <w:tcW w:w="20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1套</w:t>
                  </w: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备注：以上报价需含税费、运输费、安装调试费、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检测费、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培训费等费用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本次报价，不作为本项目的中标结果，仅作为市场调查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联系人：徐先生，联系电话：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13928316768/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0752-8484850，地址：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惠州市江北菊花1路3号金宝兴业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zh-CN"/>
              </w:rPr>
              <w:t>家园2期（和园）12号商铺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，邮箱：zdpahuizhou@126.com </w:t>
            </w: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9"/>
    <w:rsid w:val="001D2535"/>
    <w:rsid w:val="0026156E"/>
    <w:rsid w:val="002A1D80"/>
    <w:rsid w:val="0031458C"/>
    <w:rsid w:val="003773D9"/>
    <w:rsid w:val="00451D3A"/>
    <w:rsid w:val="004A400C"/>
    <w:rsid w:val="006D436C"/>
    <w:rsid w:val="006F223D"/>
    <w:rsid w:val="00A31880"/>
    <w:rsid w:val="00A624BA"/>
    <w:rsid w:val="00A63FFC"/>
    <w:rsid w:val="00B6641C"/>
    <w:rsid w:val="00BD768F"/>
    <w:rsid w:val="00C35AEA"/>
    <w:rsid w:val="00C8525B"/>
    <w:rsid w:val="02E0621C"/>
    <w:rsid w:val="02FE2805"/>
    <w:rsid w:val="03EC4CA8"/>
    <w:rsid w:val="04F43D7E"/>
    <w:rsid w:val="051D4136"/>
    <w:rsid w:val="092C502E"/>
    <w:rsid w:val="09C66F01"/>
    <w:rsid w:val="0B7F6436"/>
    <w:rsid w:val="0F5207DF"/>
    <w:rsid w:val="13BC74A5"/>
    <w:rsid w:val="13E81F1B"/>
    <w:rsid w:val="145F2A08"/>
    <w:rsid w:val="16157322"/>
    <w:rsid w:val="17042D3B"/>
    <w:rsid w:val="224B7458"/>
    <w:rsid w:val="22B91C02"/>
    <w:rsid w:val="235E0FA6"/>
    <w:rsid w:val="28273886"/>
    <w:rsid w:val="28721C06"/>
    <w:rsid w:val="2B3F71C3"/>
    <w:rsid w:val="2CC202FE"/>
    <w:rsid w:val="2D1E7C49"/>
    <w:rsid w:val="2F4316AA"/>
    <w:rsid w:val="308A1C41"/>
    <w:rsid w:val="30E977E9"/>
    <w:rsid w:val="38952FA7"/>
    <w:rsid w:val="38ED535A"/>
    <w:rsid w:val="3A1821A8"/>
    <w:rsid w:val="3A531A79"/>
    <w:rsid w:val="3D4C1167"/>
    <w:rsid w:val="3D503DE4"/>
    <w:rsid w:val="3F610B7D"/>
    <w:rsid w:val="42E45E29"/>
    <w:rsid w:val="442D17D3"/>
    <w:rsid w:val="45090AF5"/>
    <w:rsid w:val="45833E65"/>
    <w:rsid w:val="46A23A06"/>
    <w:rsid w:val="49D37DD7"/>
    <w:rsid w:val="4C0D3048"/>
    <w:rsid w:val="4E353A8B"/>
    <w:rsid w:val="4E3575AA"/>
    <w:rsid w:val="5030182D"/>
    <w:rsid w:val="50C95D04"/>
    <w:rsid w:val="51452EBC"/>
    <w:rsid w:val="51BB79AF"/>
    <w:rsid w:val="522B793D"/>
    <w:rsid w:val="529640B0"/>
    <w:rsid w:val="548A498A"/>
    <w:rsid w:val="567048ED"/>
    <w:rsid w:val="582D588A"/>
    <w:rsid w:val="5A5C6168"/>
    <w:rsid w:val="5AF02C47"/>
    <w:rsid w:val="5B6153E8"/>
    <w:rsid w:val="5C6E7299"/>
    <w:rsid w:val="5D110D66"/>
    <w:rsid w:val="5E5F6AB2"/>
    <w:rsid w:val="616833E3"/>
    <w:rsid w:val="69D24EEF"/>
    <w:rsid w:val="6EC4708E"/>
    <w:rsid w:val="6FBF452A"/>
    <w:rsid w:val="726E2076"/>
    <w:rsid w:val="72D32BE3"/>
    <w:rsid w:val="745D3639"/>
    <w:rsid w:val="74F5436C"/>
    <w:rsid w:val="7CB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after="120" w:line="360" w:lineRule="auto"/>
      <w:jc w:val="left"/>
      <w:outlineLvl w:val="0"/>
    </w:pPr>
    <w:rPr>
      <w:rFonts w:ascii="华文细黑" w:hAnsi="华文细黑" w:eastAsia="黑体" w:cs="Times New Roman"/>
      <w:b/>
      <w:bCs/>
      <w:kern w:val="44"/>
      <w:sz w:val="2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60" w:lineRule="auto"/>
    </w:pPr>
    <w:rPr>
      <w:rFonts w:ascii="宋体" w:hAnsi="Courier New"/>
      <w:sz w:val="24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2019-06-13T09:02:00Z</dcterms:created>
  <dc:creator>Istrate Ramona</dc:creator>
  <cp:lastModifiedBy>一曦</cp:lastModifiedBy>
  <dcterms:modified xsi:type="dcterms:W3CDTF">2021-01-12T04:17:58Z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