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《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建设工程监理与相关服务收费管理规定》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国家发展改革委、建设部    发改价格[2007]670号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施工监理服务收费基价表          单位：万元</w:t>
      </w:r>
    </w:p>
    <w:tbl>
      <w:tblPr>
        <w:tblW w:w="101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7"/>
        <w:gridCol w:w="2982"/>
        <w:gridCol w:w="2275"/>
        <w:gridCol w:w="2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计费额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收费基价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费率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30.1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120.8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181.0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218.6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393.4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708.2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991.4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1255.8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1507.0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2712.5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4882.6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6835.6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8658.4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1.08 %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9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8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1000000</w:t>
            </w:r>
          </w:p>
        </w:tc>
        <w:tc>
          <w:tcPr>
            <w:tcW w:w="227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10390.1</w:t>
            </w:r>
          </w:p>
        </w:tc>
        <w:tc>
          <w:tcPr>
            <w:tcW w:w="248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1.04 %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注：计费额大于1000000万元的，以计费额乘以1.039%的收费率计算收费基价。其他未包含的其收费由双方协商议定。以上标准按内插费计算。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计算施工监理服务收费基准价举例：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某工程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"http://wenwen.soso.com/z/Search.e?sp=S%E6%8A%95%E8%B5%84%E9%A2%9D&amp;ch=w.search.yjjlink&amp;cid=w.search.yjjlink"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</w:rPr>
        <w:t>投资额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为2883万元，该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"http://wenwen.soso.com/z/Search.e?sp=S%E5%B7%A5%E7%A8%8B%E9%A1%B9%E7%9B%AE&amp;ch=w.search.yjjlink&amp;cid=w.search.yjjlink"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</w:rPr>
        <w:t>工程项目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"http://wenwen.soso.com/z/Search.e?sp=S%E6%96%BD%E5%B7%A5%E7%9B%91%E7%90%86&amp;ch=w.search.yjjlink&amp;cid=w.search.yjjlink"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</w:rPr>
        <w:t>施工监理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服务收费的计算额为2883万元。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本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"http://wenwen.soso.com/z/Search.e?sp=S%E5%B7%A5%E7%A8%8B%E8%AE%A1%E7%AE%97&amp;ch=w.search.yjjlink&amp;cid=w.search.yjjlink"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</w:rPr>
        <w:t>工程计算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为2883万元的收费基价X计算如下：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X=30.1+(78.1－30.1)/（3000-1000）×（2883-1000）=75.292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按文件精神和有关要求，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instrText xml:space="preserve"> HYPERLINK "http://wenwen.soso.com/z/Search.e?sp=S%E5%B7%A5%E7%A8%8B%E7%9B%91%E7%90%86&amp;ch=w.search.yjjlink&amp;cid=w.search.yjjlink"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4"/>
          <w:szCs w:val="24"/>
          <w:u w:val="none"/>
        </w:rPr>
        <w:t>工程监理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4"/>
          <w:szCs w:val="24"/>
          <w:u w:val="non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服务收费基价浮动幅度值为20%。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1、施工监理服务收费=施工阶段监理服务收费基准价×（1±20%）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2、施工监理服务收费报价范围：监理服务收费的0.8～1.2之间。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按照惯例:工期依据定额工期; 超过合同约定工期的支付附加报酬为附加工作日数×合同报酬／合同监理服务日。</w:t>
      </w:r>
    </w:p>
    <w:p>
      <w:pPr>
        <w:rPr>
          <w:sz w:val="24"/>
          <w:szCs w:val="24"/>
        </w:rPr>
      </w:pPr>
    </w:p>
    <w:sectPr>
      <w:pgSz w:w="11906" w:h="16838"/>
      <w:pgMar w:top="454" w:right="454" w:bottom="454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2ExYTdlZDNjMjU0NTc3NWJiN2JhYjU1MjhlOWIifQ=="/>
  </w:docVars>
  <w:rsids>
    <w:rsidRoot w:val="6C9A7817"/>
    <w:rsid w:val="58764240"/>
    <w:rsid w:val="6C9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2023-04-21T07:39:00Z</dcterms:created>
  <dc:creator>正大鹏安招标造价市政房建四甲</dc:creator>
  <cp:lastModifiedBy>Administrator</cp:lastModifiedBy>
  <dcterms:modified xsi:type="dcterms:W3CDTF">2023-08-26T06:57:19Z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9EB71340AA3B4951915D88829B0D70C0_13</vt:lpwstr>
  </property>
</Properties>
</file>